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6A8F"/>
          <w:sz w:val="24"/>
        </w:rPr>
        <w:t>sn22.ru</w:t>
      </w:r>
    </w:p>
    <w:p>
      <w:pPr>
        <w:jc w:val="center"/>
      </w:pPr>
      <w:r>
        <w:rPr>
          <w:b/>
          <w:color w:val="2B6A8F"/>
          <w:sz w:val="30"/>
        </w:rPr>
        <w:t>ОПРОСНЫЙ ЛИСТ ДЛЯ ПОДБОРА КОЖУХОТРУБНОГО КОНДЕНСАТОРА</w:t>
      </w:r>
    </w:p>
    <w:p>
      <w:pPr>
        <w:jc w:val="center"/>
      </w:pPr>
      <w:r>
        <w:rPr>
          <w:i/>
          <w:sz w:val="20"/>
        </w:rPr>
        <w:t>Кожухотрубный конденсатор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2B6A8F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Название объекта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ПРИМЕНЕНИЕ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Назначение: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Технологич.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ДАННЫЕ ДЛЯ РАСЧЁТА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Хладагент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марка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 конденсации, кВт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Греющая среда (первичный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пар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Нагреваемая среда (вторичный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другое)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ТРЕБОВАНИЯ К ТЕПЛООБМЕННИКУ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температура,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Примечания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аналог, например: КН, КК по ГОСТ 15121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https://sn22.ru</w:t>
        <w:br/>
        <w:t>PDF-версия этого опросного листа: https://sn22.ru/spravochniki/oprosnye-listy/oprosnyy-list-kozhukhotrubnyy-kondensator.pdf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