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ГРАФИТОВОГО ТЕПЛООБМЕННИКА</w:t>
      </w:r>
    </w:p>
    <w:p>
      <w:pPr>
        <w:jc w:val="center"/>
      </w:pPr>
      <w:r>
        <w:rPr>
          <w:i/>
          <w:sz w:val="20"/>
        </w:rPr>
        <w:t>Графитовый теплообменник (агрессивные среды)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Агрессивная среда / концентрация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аналог, например: блочный, кожухотрубный графит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https://sn22.ru/spravochniki/oprosnye-listy/oprosnyy-list-grafitovyy-teploobmennik.pdf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